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90BCC" w14:textId="76A9E0EB" w:rsidR="009A5D7B" w:rsidRDefault="00143BBA" w:rsidP="00143BBA">
      <w:pPr>
        <w:jc w:val="center"/>
        <w:rPr>
          <w:b/>
        </w:rPr>
      </w:pPr>
      <w:bookmarkStart w:id="0" w:name="_GoBack"/>
      <w:bookmarkEnd w:id="0"/>
      <w:r w:rsidRPr="00143BBA">
        <w:rPr>
          <w:b/>
        </w:rPr>
        <w:t xml:space="preserve">Addictions </w:t>
      </w:r>
      <w:r w:rsidR="000B1CE2">
        <w:rPr>
          <w:b/>
        </w:rPr>
        <w:t xml:space="preserve">Minor </w:t>
      </w:r>
      <w:r w:rsidRPr="00143BBA">
        <w:rPr>
          <w:b/>
        </w:rPr>
        <w:t>overview and requirements for UA Bulletin</w:t>
      </w:r>
    </w:p>
    <w:p w14:paraId="04D67E95" w14:textId="77777777" w:rsidR="00143BBA" w:rsidRDefault="00143BBA" w:rsidP="00143BBA">
      <w:pPr>
        <w:jc w:val="center"/>
        <w:rPr>
          <w:b/>
        </w:rPr>
      </w:pPr>
    </w:p>
    <w:p w14:paraId="33C2DC11" w14:textId="77777777" w:rsidR="00143BBA" w:rsidRPr="00143BBA" w:rsidRDefault="00143BBA" w:rsidP="00143BBA">
      <w:pPr>
        <w:rPr>
          <w:b/>
          <w:color w:val="FF0000"/>
        </w:rPr>
      </w:pPr>
      <w:r w:rsidRPr="00143BBA">
        <w:rPr>
          <w:b/>
          <w:color w:val="FF0000"/>
        </w:rPr>
        <w:t xml:space="preserve">Overview </w:t>
      </w:r>
      <w:r>
        <w:rPr>
          <w:b/>
          <w:color w:val="FF0000"/>
        </w:rPr>
        <w:t>tab</w:t>
      </w:r>
      <w:r w:rsidRPr="00143BBA">
        <w:rPr>
          <w:b/>
          <w:color w:val="FF0000"/>
        </w:rPr>
        <w:t>:</w:t>
      </w:r>
    </w:p>
    <w:p w14:paraId="11B3C650" w14:textId="77777777" w:rsidR="000B1CE2" w:rsidRDefault="000B1CE2" w:rsidP="000B1CE2">
      <w:pPr>
        <w:pStyle w:val="Heading2"/>
        <w:shd w:val="clear" w:color="auto" w:fill="FFFFFF"/>
        <w:spacing w:before="0" w:beforeAutospacing="0" w:after="108" w:afterAutospacing="0" w:line="276" w:lineRule="atLeast"/>
        <w:textAlignment w:val="baseline"/>
        <w:rPr>
          <w:rFonts w:ascii="Impact" w:hAnsi="Impact"/>
          <w:b w:val="0"/>
          <w:bCs w:val="0"/>
          <w:color w:val="867540"/>
          <w:sz w:val="46"/>
          <w:szCs w:val="46"/>
        </w:rPr>
      </w:pPr>
      <w:r>
        <w:rPr>
          <w:rFonts w:ascii="Impact" w:hAnsi="Impact"/>
          <w:b w:val="0"/>
          <w:bCs w:val="0"/>
          <w:color w:val="867540"/>
          <w:sz w:val="46"/>
          <w:szCs w:val="46"/>
        </w:rPr>
        <w:t>Minor in Addiction Services (226105M)</w:t>
      </w:r>
    </w:p>
    <w:p w14:paraId="5C4E3F78" w14:textId="53DF5EC3" w:rsidR="00143BBA" w:rsidRPr="00143BBA" w:rsidRDefault="00143BBA" w:rsidP="00143BBA">
      <w:pPr>
        <w:shd w:val="clear" w:color="auto" w:fill="FFFFFF"/>
        <w:spacing w:after="360"/>
        <w:textAlignment w:val="baseline"/>
        <w:rPr>
          <w:rFonts w:ascii="Verdana" w:eastAsia="Times New Roman" w:hAnsi="Verdana" w:cs="Times New Roman"/>
          <w:color w:val="1C1C1C"/>
          <w:sz w:val="21"/>
          <w:szCs w:val="21"/>
        </w:rPr>
      </w:pPr>
      <w:r w:rsidRPr="00143BBA">
        <w:rPr>
          <w:rFonts w:ascii="Verdana" w:eastAsia="Times New Roman" w:hAnsi="Verdana" w:cs="Times New Roman"/>
          <w:color w:val="1C1C1C"/>
          <w:sz w:val="21"/>
          <w:szCs w:val="21"/>
        </w:rPr>
        <w:t xml:space="preserve">The Addiction Services </w:t>
      </w:r>
      <w:r w:rsidR="000B1CE2">
        <w:rPr>
          <w:rFonts w:ascii="Verdana" w:eastAsia="Times New Roman" w:hAnsi="Verdana" w:cs="Times New Roman"/>
          <w:color w:val="1C1C1C"/>
          <w:sz w:val="21"/>
          <w:szCs w:val="21"/>
        </w:rPr>
        <w:t xml:space="preserve">Minor </w:t>
      </w:r>
      <w:r w:rsidRPr="00143BBA">
        <w:rPr>
          <w:rFonts w:ascii="Verdana" w:eastAsia="Times New Roman" w:hAnsi="Verdana" w:cs="Times New Roman"/>
          <w:color w:val="1C1C1C"/>
          <w:sz w:val="21"/>
          <w:szCs w:val="21"/>
        </w:rPr>
        <w:t xml:space="preserve">is best suited for students looking to work in </w:t>
      </w:r>
      <w:r w:rsidR="000B1CE2">
        <w:rPr>
          <w:rFonts w:ascii="Verdana" w:eastAsia="Times New Roman" w:hAnsi="Verdana" w:cs="Times New Roman"/>
          <w:color w:val="1C1C1C"/>
          <w:sz w:val="21"/>
          <w:szCs w:val="21"/>
        </w:rPr>
        <w:t xml:space="preserve">a helping </w:t>
      </w:r>
      <w:r w:rsidRPr="00143BBA">
        <w:rPr>
          <w:rFonts w:ascii="Verdana" w:eastAsia="Times New Roman" w:hAnsi="Verdana" w:cs="Times New Roman"/>
          <w:color w:val="1C1C1C"/>
          <w:sz w:val="21"/>
          <w:szCs w:val="21"/>
        </w:rPr>
        <w:t>profession</w:t>
      </w:r>
      <w:r w:rsidR="000B1CE2">
        <w:rPr>
          <w:rFonts w:ascii="Verdana" w:eastAsia="Times New Roman" w:hAnsi="Verdana" w:cs="Times New Roman"/>
          <w:color w:val="1C1C1C"/>
          <w:sz w:val="21"/>
          <w:szCs w:val="21"/>
        </w:rPr>
        <w:t xml:space="preserve"> that works with clients who may be struggling with substance use disorders. The minor can augment the student major and prove a substantial knowledge base in identifying, treating, and referring individuals struggling with addictions. </w:t>
      </w:r>
      <w:r w:rsidRPr="00143BBA">
        <w:rPr>
          <w:rFonts w:ascii="Verdana" w:eastAsia="Times New Roman" w:hAnsi="Verdana" w:cs="Times New Roman"/>
          <w:color w:val="1C1C1C"/>
          <w:sz w:val="21"/>
          <w:szCs w:val="21"/>
        </w:rPr>
        <w:t xml:space="preserve"> </w:t>
      </w:r>
      <w:r w:rsidR="000B1CE2">
        <w:rPr>
          <w:rFonts w:ascii="Verdana" w:eastAsia="Times New Roman" w:hAnsi="Verdana" w:cs="Times New Roman"/>
          <w:color w:val="1C1C1C"/>
          <w:sz w:val="21"/>
          <w:szCs w:val="21"/>
        </w:rPr>
        <w:t xml:space="preserve">All courses are online and </w:t>
      </w:r>
      <w:r>
        <w:rPr>
          <w:rFonts w:ascii="Verdana" w:eastAsia="Times New Roman" w:hAnsi="Verdana" w:cs="Times New Roman"/>
          <w:color w:val="1C1C1C"/>
          <w:sz w:val="21"/>
          <w:szCs w:val="21"/>
        </w:rPr>
        <w:t xml:space="preserve">are aligned with </w:t>
      </w:r>
      <w:r w:rsidR="00AB4D03">
        <w:rPr>
          <w:rFonts w:ascii="Verdana" w:eastAsia="Times New Roman" w:hAnsi="Verdana" w:cs="Times New Roman"/>
          <w:color w:val="1C1C1C"/>
          <w:sz w:val="21"/>
          <w:szCs w:val="21"/>
        </w:rPr>
        <w:t xml:space="preserve">required content area requirements for the Licensed Chemical Dependency Counselor II/II as </w:t>
      </w:r>
      <w:r>
        <w:rPr>
          <w:rFonts w:ascii="Verdana" w:eastAsia="Times New Roman" w:hAnsi="Verdana" w:cs="Times New Roman"/>
          <w:color w:val="1C1C1C"/>
          <w:sz w:val="21"/>
          <w:szCs w:val="21"/>
        </w:rPr>
        <w:t xml:space="preserve">stated by the Ohio Chemical Dependency Professionals Board. </w:t>
      </w:r>
    </w:p>
    <w:p w14:paraId="40E5CEC3" w14:textId="10B4AD9B" w:rsidR="00143BBA" w:rsidRPr="00143BBA" w:rsidRDefault="00143BBA" w:rsidP="00143BBA">
      <w:pPr>
        <w:shd w:val="clear" w:color="auto" w:fill="FFFFFF"/>
        <w:textAlignment w:val="baseline"/>
        <w:rPr>
          <w:rFonts w:ascii="Verdana" w:eastAsia="Times New Roman" w:hAnsi="Verdana" w:cs="Times New Roman"/>
          <w:color w:val="1C1C1C"/>
          <w:sz w:val="21"/>
          <w:szCs w:val="21"/>
        </w:rPr>
      </w:pPr>
      <w:r w:rsidRPr="00143BBA">
        <w:rPr>
          <w:rFonts w:ascii="inherit" w:eastAsia="Times New Roman" w:hAnsi="inherit" w:cs="Times New Roman"/>
          <w:b/>
          <w:bCs/>
          <w:color w:val="1C1C1C"/>
          <w:sz w:val="21"/>
          <w:szCs w:val="21"/>
          <w:bdr w:val="none" w:sz="0" w:space="0" w:color="auto" w:frame="1"/>
        </w:rPr>
        <w:t>Program Contact</w:t>
      </w:r>
      <w:r w:rsidRPr="00143BBA">
        <w:rPr>
          <w:rFonts w:ascii="Verdana" w:eastAsia="Times New Roman" w:hAnsi="Verdana" w:cs="Times New Roman"/>
          <w:color w:val="1C1C1C"/>
          <w:sz w:val="21"/>
          <w:szCs w:val="21"/>
        </w:rPr>
        <w:br/>
      </w:r>
      <w:r w:rsidRPr="00143BBA">
        <w:rPr>
          <w:rFonts w:ascii="inherit" w:eastAsia="Times New Roman" w:hAnsi="inherit" w:cs="Times New Roman"/>
          <w:i/>
          <w:iCs/>
          <w:color w:val="1C1C1C"/>
          <w:sz w:val="21"/>
          <w:szCs w:val="21"/>
          <w:bdr w:val="none" w:sz="0" w:space="0" w:color="auto" w:frame="1"/>
        </w:rPr>
        <w:t>John Ellis</w:t>
      </w:r>
      <w:r w:rsidRPr="00143BBA">
        <w:rPr>
          <w:rFonts w:ascii="inherit" w:eastAsia="Times New Roman" w:hAnsi="inherit" w:cs="Times New Roman"/>
          <w:i/>
          <w:iCs/>
          <w:color w:val="1C1C1C"/>
          <w:sz w:val="21"/>
          <w:szCs w:val="21"/>
          <w:bdr w:val="none" w:sz="0" w:space="0" w:color="auto" w:frame="1"/>
        </w:rPr>
        <w:br/>
      </w:r>
      <w:hyperlink r:id="rId5" w:tgtFrame="_blank" w:history="1">
        <w:r w:rsidRPr="00143BBA">
          <w:rPr>
            <w:rFonts w:ascii="inherit" w:eastAsia="Times New Roman" w:hAnsi="inherit" w:cs="Times New Roman"/>
            <w:i/>
            <w:iCs/>
            <w:color w:val="337AB7"/>
            <w:sz w:val="21"/>
            <w:szCs w:val="21"/>
            <w:u w:val="single"/>
            <w:bdr w:val="none" w:sz="0" w:space="0" w:color="auto" w:frame="1"/>
          </w:rPr>
          <w:t>jellis@uakron.edu</w:t>
        </w:r>
      </w:hyperlink>
      <w:r w:rsidRPr="00143BBA">
        <w:rPr>
          <w:rFonts w:ascii="inherit" w:eastAsia="Times New Roman" w:hAnsi="inherit" w:cs="Times New Roman"/>
          <w:i/>
          <w:iCs/>
          <w:color w:val="1C1C1C"/>
          <w:sz w:val="21"/>
          <w:szCs w:val="21"/>
          <w:bdr w:val="none" w:sz="0" w:space="0" w:color="auto" w:frame="1"/>
        </w:rPr>
        <w:br/>
        <w:t>330-972-</w:t>
      </w:r>
      <w:r w:rsidR="00AB4D03">
        <w:rPr>
          <w:rFonts w:ascii="inherit" w:eastAsia="Times New Roman" w:hAnsi="inherit" w:cs="Times New Roman"/>
          <w:i/>
          <w:iCs/>
          <w:color w:val="1C1C1C"/>
          <w:sz w:val="21"/>
          <w:szCs w:val="21"/>
          <w:bdr w:val="none" w:sz="0" w:space="0" w:color="auto" w:frame="1"/>
        </w:rPr>
        <w:t>5877</w:t>
      </w:r>
    </w:p>
    <w:p w14:paraId="4B39E575" w14:textId="77777777" w:rsidR="00143BBA" w:rsidRDefault="00143BBA" w:rsidP="00143BBA">
      <w:pPr>
        <w:rPr>
          <w:b/>
        </w:rPr>
      </w:pPr>
    </w:p>
    <w:p w14:paraId="07249273" w14:textId="77777777" w:rsidR="00143BBA" w:rsidRPr="00143BBA" w:rsidRDefault="00143BBA" w:rsidP="00143BBA">
      <w:pPr>
        <w:rPr>
          <w:rFonts w:ascii="Verdana" w:eastAsia="Times New Roman" w:hAnsi="Verdana" w:cs="Times New Roman"/>
          <w:color w:val="1C1C1C"/>
          <w:sz w:val="21"/>
          <w:szCs w:val="21"/>
        </w:rPr>
      </w:pPr>
      <w:r w:rsidRPr="00143BBA">
        <w:rPr>
          <w:b/>
          <w:color w:val="FF0000"/>
        </w:rPr>
        <w:t>Requirement</w:t>
      </w:r>
      <w:r>
        <w:rPr>
          <w:b/>
          <w:color w:val="FF0000"/>
        </w:rPr>
        <w:t>s tab:</w:t>
      </w:r>
      <w:r w:rsidRPr="00143BBA">
        <w:rPr>
          <w:rFonts w:ascii="Verdana" w:eastAsia="Times New Roman" w:hAnsi="Verdana" w:cs="Times New Roman"/>
          <w:color w:val="1C1C1C"/>
          <w:sz w:val="21"/>
          <w:szCs w:val="21"/>
        </w:rPr>
        <w:t xml:space="preserve"> </w:t>
      </w:r>
    </w:p>
    <w:p w14:paraId="7469CA9A" w14:textId="77777777" w:rsidR="000B1CE2" w:rsidRDefault="000B1CE2" w:rsidP="000B1CE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1C1C1C"/>
          <w:sz w:val="21"/>
          <w:szCs w:val="21"/>
        </w:rPr>
      </w:pPr>
      <w:r>
        <w:rPr>
          <w:rFonts w:ascii="Verdana" w:hAnsi="Verdana"/>
          <w:color w:val="1C1C1C"/>
          <w:sz w:val="21"/>
          <w:szCs w:val="21"/>
        </w:rPr>
        <w:t>The following courses constitute a “Minor in Addiction Services” and must be completed with a minimum grade point average of 2.0 overall for the minor to be noted on the student’s record. Please refer to the </w:t>
      </w:r>
      <w:hyperlink r:id="rId6" w:anchor="minor-req" w:history="1">
        <w:r>
          <w:rPr>
            <w:rStyle w:val="Hyperlink"/>
            <w:rFonts w:ascii="Verdana" w:hAnsi="Verdana"/>
            <w:color w:val="337AB7"/>
            <w:sz w:val="21"/>
            <w:szCs w:val="21"/>
            <w:bdr w:val="none" w:sz="0" w:space="0" w:color="auto" w:frame="1"/>
          </w:rPr>
          <w:t>University Requirements for Minor Areas of Study</w:t>
        </w:r>
      </w:hyperlink>
      <w:r>
        <w:rPr>
          <w:rFonts w:ascii="Verdana" w:hAnsi="Verdana"/>
          <w:color w:val="1C1C1C"/>
          <w:sz w:val="21"/>
          <w:szCs w:val="21"/>
        </w:rPr>
        <w:t> for specific graduation information regarding minors.</w:t>
      </w:r>
    </w:p>
    <w:p w14:paraId="198E5A0D" w14:textId="77777777" w:rsidR="000B1CE2" w:rsidRDefault="000B1CE2" w:rsidP="000B1CE2">
      <w:pPr>
        <w:pStyle w:val="Heading2"/>
        <w:shd w:val="clear" w:color="auto" w:fill="FFFFFF"/>
        <w:spacing w:before="300" w:beforeAutospacing="0" w:after="150" w:afterAutospacing="0"/>
        <w:textAlignment w:val="baseline"/>
        <w:rPr>
          <w:rFonts w:ascii="Impact" w:hAnsi="Impact"/>
          <w:b w:val="0"/>
          <w:bCs w:val="0"/>
          <w:color w:val="867540"/>
          <w:sz w:val="34"/>
          <w:szCs w:val="34"/>
        </w:rPr>
      </w:pPr>
      <w:r>
        <w:rPr>
          <w:rFonts w:ascii="Impact" w:hAnsi="Impact"/>
          <w:b w:val="0"/>
          <w:bCs w:val="0"/>
          <w:color w:val="867540"/>
          <w:sz w:val="34"/>
          <w:szCs w:val="34"/>
        </w:rPr>
        <w:t>Summary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6"/>
        <w:gridCol w:w="4169"/>
        <w:gridCol w:w="1125"/>
      </w:tblGrid>
      <w:tr w:rsidR="000B1CE2" w14:paraId="0150926D" w14:textId="77777777" w:rsidTr="000B1CE2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171FA" w14:textId="77777777" w:rsidR="000B1CE2" w:rsidRDefault="000B1CE2">
            <w:pPr>
              <w:rPr>
                <w:rFonts w:ascii="inherit" w:hAnsi="inherit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inherit" w:hAnsi="inherit"/>
                <w:b/>
                <w:bCs/>
                <w:color w:val="1C1C1C"/>
                <w:sz w:val="21"/>
                <w:szCs w:val="21"/>
              </w:rPr>
              <w:t>Code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E41B5" w14:textId="77777777" w:rsidR="000B1CE2" w:rsidRDefault="000B1CE2">
            <w:pPr>
              <w:rPr>
                <w:rFonts w:ascii="inherit" w:hAnsi="inherit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inherit" w:hAnsi="inherit"/>
                <w:b/>
                <w:bCs/>
                <w:color w:val="1C1C1C"/>
                <w:sz w:val="21"/>
                <w:szCs w:val="21"/>
              </w:rPr>
              <w:t>Title</w:t>
            </w:r>
          </w:p>
        </w:tc>
        <w:tc>
          <w:tcPr>
            <w:tcW w:w="94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6F6F6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BBE4D" w14:textId="77777777" w:rsidR="000B1CE2" w:rsidRDefault="000B1CE2">
            <w:pPr>
              <w:jc w:val="right"/>
              <w:rPr>
                <w:rFonts w:ascii="inherit" w:hAnsi="inherit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inherit" w:hAnsi="inherit"/>
                <w:b/>
                <w:bCs/>
                <w:color w:val="1C1C1C"/>
                <w:sz w:val="21"/>
                <w:szCs w:val="21"/>
              </w:rPr>
              <w:t>Hours</w:t>
            </w:r>
          </w:p>
        </w:tc>
      </w:tr>
      <w:tr w:rsidR="000B1CE2" w14:paraId="0FB20FF5" w14:textId="77777777" w:rsidTr="000B1CE2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E1C38" w14:textId="5B34DD37" w:rsidR="000B1CE2" w:rsidRDefault="000B1CE2">
            <w:pPr>
              <w:rPr>
                <w:rFonts w:ascii="Verdana" w:hAnsi="Verdana"/>
                <w:color w:val="1C1C1C"/>
                <w:sz w:val="21"/>
                <w:szCs w:val="21"/>
              </w:rPr>
            </w:pPr>
            <w:r>
              <w:rPr>
                <w:rStyle w:val="courselistcomment"/>
                <w:rFonts w:ascii="Verdana" w:hAnsi="Verdana"/>
                <w:color w:val="1C1C1C"/>
                <w:sz w:val="21"/>
                <w:szCs w:val="21"/>
                <w:bdr w:val="none" w:sz="0" w:space="0" w:color="auto" w:frame="1"/>
              </w:rPr>
              <w:t>C</w:t>
            </w:r>
            <w:r>
              <w:rPr>
                <w:rStyle w:val="courselistcomment"/>
                <w:bdr w:val="none" w:sz="0" w:space="0" w:color="auto" w:frame="1"/>
              </w:rPr>
              <w:t xml:space="preserve">ore </w:t>
            </w:r>
            <w:r>
              <w:rPr>
                <w:rStyle w:val="courselistcomment"/>
                <w:rFonts w:ascii="Verdana" w:hAnsi="Verdana"/>
                <w:color w:val="1C1C1C"/>
                <w:sz w:val="21"/>
                <w:szCs w:val="21"/>
                <w:bdr w:val="none" w:sz="0" w:space="0" w:color="auto" w:frame="1"/>
              </w:rPr>
              <w:t>Courses</w:t>
            </w:r>
          </w:p>
        </w:tc>
        <w:tc>
          <w:tcPr>
            <w:tcW w:w="11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D41CC" w14:textId="2C5E1931" w:rsidR="000B1CE2" w:rsidRDefault="000B1CE2">
            <w:pPr>
              <w:jc w:val="right"/>
              <w:rPr>
                <w:rFonts w:ascii="Verdana" w:hAnsi="Verdana"/>
                <w:color w:val="1C1C1C"/>
                <w:sz w:val="21"/>
                <w:szCs w:val="21"/>
              </w:rPr>
            </w:pPr>
            <w:r>
              <w:rPr>
                <w:rFonts w:ascii="Verdana" w:hAnsi="Verdana"/>
                <w:color w:val="1C1C1C"/>
                <w:sz w:val="21"/>
                <w:szCs w:val="21"/>
              </w:rPr>
              <w:t>15</w:t>
            </w:r>
          </w:p>
        </w:tc>
      </w:tr>
      <w:tr w:rsidR="000B1CE2" w14:paraId="2B70C040" w14:textId="77777777" w:rsidTr="000B1CE2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AE7E5" w14:textId="205FF379" w:rsidR="000B1CE2" w:rsidRDefault="000B1CE2">
            <w:pPr>
              <w:rPr>
                <w:rFonts w:ascii="Verdana" w:hAnsi="Verdana"/>
                <w:color w:val="1C1C1C"/>
                <w:sz w:val="21"/>
                <w:szCs w:val="21"/>
              </w:rPr>
            </w:pPr>
            <w:r>
              <w:rPr>
                <w:rStyle w:val="courselistcomment"/>
                <w:rFonts w:ascii="Verdana" w:hAnsi="Verdana"/>
                <w:color w:val="1C1C1C"/>
                <w:sz w:val="21"/>
                <w:szCs w:val="21"/>
                <w:bdr w:val="none" w:sz="0" w:space="0" w:color="auto" w:frame="1"/>
              </w:rPr>
              <w:t>A</w:t>
            </w:r>
            <w:r>
              <w:rPr>
                <w:rStyle w:val="courselistcomment"/>
                <w:bdr w:val="none" w:sz="0" w:space="0" w:color="auto" w:frame="1"/>
              </w:rPr>
              <w:t xml:space="preserve">ddiction </w:t>
            </w:r>
            <w:r>
              <w:rPr>
                <w:rStyle w:val="courselistcomment"/>
                <w:rFonts w:ascii="Verdana" w:hAnsi="Verdana"/>
                <w:color w:val="1C1C1C"/>
                <w:sz w:val="21"/>
                <w:szCs w:val="21"/>
                <w:bdr w:val="none" w:sz="0" w:space="0" w:color="auto" w:frame="1"/>
              </w:rPr>
              <w:t>Electives</w:t>
            </w:r>
          </w:p>
        </w:tc>
        <w:tc>
          <w:tcPr>
            <w:tcW w:w="11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CFC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F1761" w14:textId="18F07163" w:rsidR="000B1CE2" w:rsidRDefault="000B1CE2">
            <w:pPr>
              <w:jc w:val="right"/>
              <w:rPr>
                <w:rFonts w:ascii="Verdana" w:hAnsi="Verdana"/>
                <w:color w:val="1C1C1C"/>
                <w:sz w:val="21"/>
                <w:szCs w:val="21"/>
              </w:rPr>
            </w:pPr>
            <w:r>
              <w:rPr>
                <w:rFonts w:ascii="Verdana" w:hAnsi="Verdana"/>
                <w:color w:val="1C1C1C"/>
                <w:sz w:val="21"/>
                <w:szCs w:val="21"/>
              </w:rPr>
              <w:t>3</w:t>
            </w:r>
          </w:p>
        </w:tc>
      </w:tr>
      <w:tr w:rsidR="000B1CE2" w14:paraId="3E01A7DF" w14:textId="77777777" w:rsidTr="000B1CE2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C3330" w14:textId="77777777" w:rsidR="000B1CE2" w:rsidRDefault="000B1CE2">
            <w:pPr>
              <w:rPr>
                <w:rFonts w:ascii="inherit" w:hAnsi="inherit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inherit" w:hAnsi="inherit"/>
                <w:b/>
                <w:bCs/>
                <w:color w:val="1C1C1C"/>
                <w:sz w:val="21"/>
                <w:szCs w:val="21"/>
              </w:rPr>
              <w:t>Total Hours</w:t>
            </w:r>
          </w:p>
        </w:tc>
        <w:tc>
          <w:tcPr>
            <w:tcW w:w="11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48D68" w14:textId="31095432" w:rsidR="000B1CE2" w:rsidRDefault="000B1CE2">
            <w:pPr>
              <w:jc w:val="right"/>
              <w:rPr>
                <w:rFonts w:ascii="inherit" w:hAnsi="inherit"/>
                <w:b/>
                <w:bCs/>
                <w:color w:val="1C1C1C"/>
                <w:sz w:val="21"/>
                <w:szCs w:val="21"/>
              </w:rPr>
            </w:pPr>
            <w:r>
              <w:rPr>
                <w:rFonts w:ascii="inherit" w:hAnsi="inherit"/>
                <w:b/>
                <w:bCs/>
                <w:color w:val="1C1C1C"/>
                <w:sz w:val="21"/>
                <w:szCs w:val="21"/>
              </w:rPr>
              <w:t>18</w:t>
            </w:r>
          </w:p>
        </w:tc>
      </w:tr>
      <w:tr w:rsidR="000B1CE2" w14:paraId="598031CE" w14:textId="77777777" w:rsidTr="000B1CE2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91EEBA" w14:textId="77777777" w:rsidR="000B1CE2" w:rsidRDefault="000B1CE2">
            <w:pPr>
              <w:textAlignment w:val="baseline"/>
              <w:rPr>
                <w:rFonts w:ascii="Verdana" w:hAnsi="Verdana"/>
                <w:color w:val="1C1C1C"/>
                <w:sz w:val="21"/>
                <w:szCs w:val="21"/>
              </w:rPr>
            </w:pPr>
            <w:r>
              <w:rPr>
                <w:rFonts w:ascii="Verdana" w:hAnsi="Verdana"/>
                <w:color w:val="1C1C1C"/>
                <w:sz w:val="21"/>
                <w:szCs w:val="21"/>
              </w:rPr>
              <w:t>Course List</w:t>
            </w:r>
          </w:p>
        </w:tc>
      </w:tr>
    </w:tbl>
    <w:p w14:paraId="26039CAE" w14:textId="77777777" w:rsidR="000B1CE2" w:rsidRDefault="000B1CE2" w:rsidP="000B1CE2">
      <w:pPr>
        <w:pStyle w:val="Heading2"/>
        <w:shd w:val="clear" w:color="auto" w:fill="FFFFFF"/>
        <w:spacing w:before="300" w:beforeAutospacing="0" w:after="150" w:afterAutospacing="0"/>
        <w:textAlignment w:val="baseline"/>
        <w:rPr>
          <w:rFonts w:ascii="Impact" w:hAnsi="Impact"/>
          <w:b w:val="0"/>
          <w:bCs w:val="0"/>
          <w:color w:val="867540"/>
          <w:sz w:val="30"/>
          <w:szCs w:val="30"/>
        </w:rPr>
      </w:pPr>
      <w:r>
        <w:rPr>
          <w:rFonts w:ascii="Impact" w:hAnsi="Impact"/>
          <w:b w:val="0"/>
          <w:bCs w:val="0"/>
          <w:color w:val="867540"/>
          <w:sz w:val="30"/>
          <w:szCs w:val="30"/>
        </w:rPr>
        <w:t>Required Courses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6690"/>
        <w:gridCol w:w="1125"/>
      </w:tblGrid>
      <w:tr w:rsidR="000B1CE2" w14:paraId="4AFF5238" w14:textId="77777777" w:rsidTr="000B1CE2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E87D0" w14:textId="77777777" w:rsidR="000B1CE2" w:rsidRDefault="000B1CE2">
            <w:pPr>
              <w:rPr>
                <w:rFonts w:ascii="inherit" w:hAnsi="inherit"/>
                <w:b/>
                <w:bCs/>
              </w:rPr>
            </w:pPr>
            <w:r>
              <w:rPr>
                <w:rFonts w:ascii="inherit" w:hAnsi="inherit"/>
                <w:b/>
                <w:bCs/>
              </w:rPr>
              <w:t>Code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D3724" w14:textId="77777777" w:rsidR="000B1CE2" w:rsidRDefault="000B1CE2">
            <w:pPr>
              <w:rPr>
                <w:rFonts w:ascii="inherit" w:hAnsi="inherit"/>
                <w:b/>
                <w:bCs/>
              </w:rPr>
            </w:pPr>
            <w:r>
              <w:rPr>
                <w:rFonts w:ascii="inherit" w:hAnsi="inherit"/>
                <w:b/>
                <w:bCs/>
              </w:rPr>
              <w:t>Title</w:t>
            </w:r>
          </w:p>
        </w:tc>
        <w:tc>
          <w:tcPr>
            <w:tcW w:w="11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6F6F6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92E3B" w14:textId="77777777" w:rsidR="000B1CE2" w:rsidRDefault="000B1CE2">
            <w:pPr>
              <w:jc w:val="right"/>
              <w:rPr>
                <w:rFonts w:ascii="inherit" w:hAnsi="inherit"/>
                <w:b/>
                <w:bCs/>
              </w:rPr>
            </w:pPr>
            <w:r>
              <w:rPr>
                <w:rFonts w:ascii="inherit" w:hAnsi="inherit"/>
                <w:b/>
                <w:bCs/>
              </w:rPr>
              <w:t>Hours</w:t>
            </w:r>
          </w:p>
        </w:tc>
      </w:tr>
      <w:tr w:rsidR="000B1CE2" w14:paraId="72986228" w14:textId="77777777" w:rsidTr="000B1CE2">
        <w:tc>
          <w:tcPr>
            <w:tcW w:w="178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1FE71" w14:textId="77777777" w:rsidR="000B1CE2" w:rsidRDefault="00593C76">
            <w:pPr>
              <w:rPr>
                <w:rFonts w:ascii="Times New Roman" w:hAnsi="Times New Roman"/>
              </w:rPr>
            </w:pPr>
            <w:hyperlink r:id="rId7" w:tooltip="7750:240" w:history="1">
              <w:r w:rsidR="000B1CE2">
                <w:rPr>
                  <w:rStyle w:val="Hyperlink"/>
                  <w:color w:val="337AB7"/>
                  <w:bdr w:val="none" w:sz="0" w:space="0" w:color="auto" w:frame="1"/>
                </w:rPr>
                <w:t>7750:240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B158F" w14:textId="77777777" w:rsidR="000B1CE2" w:rsidRDefault="000B1CE2">
            <w:r>
              <w:t>Substance Use and Abuse</w:t>
            </w:r>
          </w:p>
        </w:tc>
        <w:tc>
          <w:tcPr>
            <w:tcW w:w="1125" w:type="dxa"/>
            <w:tcBorders>
              <w:top w:val="single" w:sz="6" w:space="0" w:color="DDDDDD"/>
              <w:left w:val="nil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6E6FE" w14:textId="77777777" w:rsidR="000B1CE2" w:rsidRDefault="000B1CE2">
            <w:pPr>
              <w:jc w:val="right"/>
            </w:pPr>
            <w:r>
              <w:t>3</w:t>
            </w:r>
          </w:p>
        </w:tc>
      </w:tr>
      <w:tr w:rsidR="000B1CE2" w14:paraId="2971F426" w14:textId="77777777" w:rsidTr="000B1CE2">
        <w:tc>
          <w:tcPr>
            <w:tcW w:w="17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A8819" w14:textId="77777777" w:rsidR="000B1CE2" w:rsidRDefault="00593C76">
            <w:hyperlink r:id="rId8" w:tooltip="7750:260" w:history="1">
              <w:r w:rsidR="000B1CE2">
                <w:rPr>
                  <w:rStyle w:val="Hyperlink"/>
                  <w:color w:val="337AB7"/>
                  <w:bdr w:val="none" w:sz="0" w:space="0" w:color="auto" w:frame="1"/>
                </w:rPr>
                <w:t>7750:260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412C1" w14:textId="77777777" w:rsidR="000B1CE2" w:rsidRDefault="000B1CE2">
            <w:r>
              <w:t>Introduction to Addiction</w:t>
            </w:r>
          </w:p>
        </w:tc>
        <w:tc>
          <w:tcPr>
            <w:tcW w:w="11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CFC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050A0" w14:textId="77777777" w:rsidR="000B1CE2" w:rsidRDefault="000B1CE2">
            <w:pPr>
              <w:jc w:val="right"/>
            </w:pPr>
            <w:r>
              <w:t>3</w:t>
            </w:r>
          </w:p>
        </w:tc>
      </w:tr>
      <w:tr w:rsidR="000B1CE2" w14:paraId="031D840F" w14:textId="77777777" w:rsidTr="000B1CE2">
        <w:tc>
          <w:tcPr>
            <w:tcW w:w="178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03079" w14:textId="77777777" w:rsidR="000B1CE2" w:rsidRDefault="00593C76">
            <w:hyperlink r:id="rId9" w:tooltip="7750:467" w:history="1">
              <w:r w:rsidR="000B1CE2">
                <w:rPr>
                  <w:rStyle w:val="Hyperlink"/>
                  <w:color w:val="337AB7"/>
                  <w:bdr w:val="none" w:sz="0" w:space="0" w:color="auto" w:frame="1"/>
                </w:rPr>
                <w:t>7750:467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03D30" w14:textId="77777777" w:rsidR="000B1CE2" w:rsidRDefault="000B1CE2">
            <w:r>
              <w:t>Addiction Screening, Assessment and Treatment Planning</w:t>
            </w:r>
          </w:p>
        </w:tc>
        <w:tc>
          <w:tcPr>
            <w:tcW w:w="1125" w:type="dxa"/>
            <w:tcBorders>
              <w:top w:val="single" w:sz="6" w:space="0" w:color="DDDDDD"/>
              <w:left w:val="nil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85338" w14:textId="77777777" w:rsidR="000B1CE2" w:rsidRDefault="000B1CE2">
            <w:pPr>
              <w:jc w:val="right"/>
            </w:pPr>
            <w:r>
              <w:t>3</w:t>
            </w:r>
          </w:p>
        </w:tc>
      </w:tr>
      <w:tr w:rsidR="000B1CE2" w14:paraId="52B6E764" w14:textId="77777777" w:rsidTr="000B1CE2">
        <w:tc>
          <w:tcPr>
            <w:tcW w:w="17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FD877" w14:textId="385683A2" w:rsidR="000B1CE2" w:rsidRDefault="000B1CE2">
            <w:r>
              <w:rPr>
                <w:rStyle w:val="courselistcomment"/>
                <w:bdr w:val="none" w:sz="0" w:space="0" w:color="auto" w:frame="1"/>
              </w:rPr>
              <w:t>7750:468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01CBB" w14:textId="278D7D35" w:rsidR="000B1CE2" w:rsidRDefault="000B1CE2">
            <w:r>
              <w:rPr>
                <w:rStyle w:val="courselistcomment"/>
                <w:bdr w:val="none" w:sz="0" w:space="0" w:color="auto" w:frame="1"/>
              </w:rPr>
              <w:t>Addictions Prevention, Treatment, and Recovery</w:t>
            </w:r>
          </w:p>
        </w:tc>
        <w:tc>
          <w:tcPr>
            <w:tcW w:w="11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CFC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B1810" w14:textId="04202577" w:rsidR="000B1CE2" w:rsidRDefault="000B1CE2">
            <w:pPr>
              <w:jc w:val="right"/>
            </w:pPr>
            <w:r>
              <w:t>3</w:t>
            </w:r>
          </w:p>
        </w:tc>
      </w:tr>
      <w:tr w:rsidR="000B1CE2" w14:paraId="1762200B" w14:textId="77777777" w:rsidTr="000B1CE2">
        <w:tc>
          <w:tcPr>
            <w:tcW w:w="178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7CF67" w14:textId="41E09315" w:rsidR="000B1CE2" w:rsidRDefault="000B1CE2">
            <w:r>
              <w:rPr>
                <w:rStyle w:val="courselistcomment"/>
                <w:bdr w:val="none" w:sz="0" w:space="0" w:color="auto" w:frame="1"/>
              </w:rPr>
              <w:t>7750:469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C87B8" w14:textId="540CB203" w:rsidR="000B1CE2" w:rsidRDefault="000B1CE2" w:rsidP="000B1CE2">
            <w:r>
              <w:rPr>
                <w:rStyle w:val="courselistcomment"/>
                <w:bdr w:val="none" w:sz="0" w:space="0" w:color="auto" w:frame="1"/>
              </w:rPr>
              <w:t xml:space="preserve">Group and Relationship Counseling </w:t>
            </w:r>
            <w:r w:rsidRPr="000B1CE2">
              <w:rPr>
                <w:rStyle w:val="courselistcomment"/>
                <w:i/>
                <w:bdr w:val="none" w:sz="0" w:space="0" w:color="auto" w:frame="1"/>
              </w:rPr>
              <w:t xml:space="preserve">or </w:t>
            </w:r>
            <w:r>
              <w:rPr>
                <w:rStyle w:val="courselistcomment"/>
                <w:i/>
                <w:bdr w:val="none" w:sz="0" w:space="0" w:color="auto" w:frame="1"/>
              </w:rPr>
              <w:t xml:space="preserve">7750: 402 </w:t>
            </w:r>
            <w:r w:rsidRPr="000B1CE2">
              <w:rPr>
                <w:i/>
              </w:rPr>
              <w:t>Social Work Practice II &amp;</w:t>
            </w:r>
            <w:r>
              <w:rPr>
                <w:i/>
              </w:rPr>
              <w:t xml:space="preserve"> 7750:404 Social Work Practice</w:t>
            </w:r>
            <w:r w:rsidRPr="000B1CE2">
              <w:rPr>
                <w:i/>
              </w:rPr>
              <w:t xml:space="preserve"> IV</w:t>
            </w:r>
          </w:p>
        </w:tc>
        <w:tc>
          <w:tcPr>
            <w:tcW w:w="1125" w:type="dxa"/>
            <w:tcBorders>
              <w:top w:val="single" w:sz="6" w:space="0" w:color="DDDDDD"/>
              <w:left w:val="nil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F8DDD" w14:textId="77777777" w:rsidR="000B1CE2" w:rsidRDefault="000B1CE2">
            <w:pPr>
              <w:jc w:val="right"/>
            </w:pPr>
            <w:r>
              <w:t>3</w:t>
            </w:r>
          </w:p>
        </w:tc>
      </w:tr>
      <w:tr w:rsidR="000B1CE2" w14:paraId="0EE1C2FF" w14:textId="77777777" w:rsidTr="000B1CE2">
        <w:trPr>
          <w:trHeight w:val="684"/>
        </w:trPr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407C9" w14:textId="77777777" w:rsidR="000B1CE2" w:rsidRDefault="000B1CE2">
            <w:pPr>
              <w:rPr>
                <w:rFonts w:ascii="inherit" w:hAnsi="inherit"/>
                <w:b/>
                <w:bCs/>
              </w:rPr>
            </w:pPr>
            <w:r>
              <w:rPr>
                <w:rFonts w:ascii="inherit" w:hAnsi="inherit"/>
                <w:b/>
                <w:bCs/>
              </w:rPr>
              <w:lastRenderedPageBreak/>
              <w:t>Total Hours</w:t>
            </w:r>
          </w:p>
        </w:tc>
        <w:tc>
          <w:tcPr>
            <w:tcW w:w="1125" w:type="dxa"/>
            <w:tcBorders>
              <w:top w:val="single" w:sz="6" w:space="0" w:color="DDDDDD"/>
              <w:left w:val="nil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B6FEE" w14:textId="0E03A8B3" w:rsidR="000B1CE2" w:rsidRDefault="000B1CE2">
            <w:pPr>
              <w:jc w:val="right"/>
              <w:rPr>
                <w:rFonts w:ascii="inherit" w:hAnsi="inherit"/>
                <w:b/>
                <w:bCs/>
              </w:rPr>
            </w:pPr>
            <w:r>
              <w:rPr>
                <w:rFonts w:ascii="inherit" w:hAnsi="inherit"/>
                <w:b/>
                <w:bCs/>
              </w:rPr>
              <w:t>15</w:t>
            </w:r>
          </w:p>
        </w:tc>
      </w:tr>
    </w:tbl>
    <w:p w14:paraId="2378B128" w14:textId="0B8F6FBD" w:rsidR="000B1CE2" w:rsidRDefault="000B1CE2" w:rsidP="000B1CE2">
      <w:pPr>
        <w:pStyle w:val="Heading2"/>
        <w:shd w:val="clear" w:color="auto" w:fill="FFFFFF"/>
        <w:spacing w:before="300" w:beforeAutospacing="0" w:after="150" w:afterAutospacing="0"/>
        <w:textAlignment w:val="baseline"/>
        <w:rPr>
          <w:rFonts w:ascii="Impact" w:hAnsi="Impact"/>
          <w:b w:val="0"/>
          <w:bCs w:val="0"/>
          <w:color w:val="867540"/>
          <w:sz w:val="30"/>
          <w:szCs w:val="30"/>
        </w:rPr>
      </w:pPr>
      <w:r>
        <w:rPr>
          <w:rFonts w:ascii="Impact" w:hAnsi="Impact"/>
          <w:b w:val="0"/>
          <w:bCs w:val="0"/>
          <w:color w:val="867540"/>
          <w:sz w:val="30"/>
          <w:szCs w:val="30"/>
        </w:rPr>
        <w:t>Addiction Electives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6303"/>
        <w:gridCol w:w="1125"/>
      </w:tblGrid>
      <w:tr w:rsidR="000B1CE2" w14:paraId="49CF8B90" w14:textId="77777777" w:rsidTr="000B1CE2">
        <w:trPr>
          <w:tblHeader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11290" w14:textId="77777777" w:rsidR="000B1CE2" w:rsidRDefault="000B1CE2">
            <w:pPr>
              <w:rPr>
                <w:rFonts w:ascii="inherit" w:hAnsi="inherit"/>
                <w:b/>
                <w:bCs/>
              </w:rPr>
            </w:pPr>
            <w:r>
              <w:rPr>
                <w:rFonts w:ascii="inherit" w:hAnsi="inherit"/>
                <w:b/>
                <w:bCs/>
              </w:rPr>
              <w:t>Code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1FFA5" w14:textId="77777777" w:rsidR="000B1CE2" w:rsidRDefault="000B1CE2">
            <w:pPr>
              <w:rPr>
                <w:rFonts w:ascii="inherit" w:hAnsi="inherit"/>
                <w:b/>
                <w:bCs/>
              </w:rPr>
            </w:pPr>
            <w:r>
              <w:rPr>
                <w:rFonts w:ascii="inherit" w:hAnsi="inherit"/>
                <w:b/>
                <w:bCs/>
              </w:rPr>
              <w:t>Title</w:t>
            </w:r>
          </w:p>
        </w:tc>
        <w:tc>
          <w:tcPr>
            <w:tcW w:w="11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6F6F6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934E9" w14:textId="77777777" w:rsidR="000B1CE2" w:rsidRDefault="000B1CE2">
            <w:pPr>
              <w:jc w:val="right"/>
              <w:rPr>
                <w:rFonts w:ascii="inherit" w:hAnsi="inherit"/>
                <w:b/>
                <w:bCs/>
              </w:rPr>
            </w:pPr>
            <w:r>
              <w:rPr>
                <w:rFonts w:ascii="inherit" w:hAnsi="inherit"/>
                <w:b/>
                <w:bCs/>
              </w:rPr>
              <w:t>Hours</w:t>
            </w:r>
          </w:p>
        </w:tc>
      </w:tr>
      <w:tr w:rsidR="000B1CE2" w14:paraId="37FF77C1" w14:textId="77777777" w:rsidTr="000B1CE2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9E0A4" w14:textId="5CCCBE96" w:rsidR="000B1CE2" w:rsidRDefault="000B1CE2">
            <w:pPr>
              <w:rPr>
                <w:rFonts w:ascii="inherit" w:hAnsi="inherit"/>
                <w:b/>
                <w:bCs/>
              </w:rPr>
            </w:pPr>
            <w:r>
              <w:rPr>
                <w:rStyle w:val="courselistcomment"/>
                <w:rFonts w:ascii="inherit" w:hAnsi="inherit"/>
                <w:b/>
                <w:bCs/>
                <w:bdr w:val="none" w:sz="0" w:space="0" w:color="auto" w:frame="1"/>
              </w:rPr>
              <w:t>Complete 3 credits from the following courses:</w:t>
            </w:r>
          </w:p>
        </w:tc>
        <w:tc>
          <w:tcPr>
            <w:tcW w:w="1125" w:type="dxa"/>
            <w:tcBorders>
              <w:top w:val="single" w:sz="6" w:space="0" w:color="DDDDDD"/>
              <w:left w:val="nil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BB86F" w14:textId="00CF4E1E" w:rsidR="000B1CE2" w:rsidRDefault="000B1CE2">
            <w:pPr>
              <w:jc w:val="right"/>
              <w:rPr>
                <w:rFonts w:ascii="inherit" w:hAnsi="inherit"/>
                <w:b/>
                <w:bCs/>
              </w:rPr>
            </w:pPr>
            <w:r>
              <w:rPr>
                <w:rFonts w:ascii="inherit" w:hAnsi="inherit"/>
                <w:b/>
                <w:bCs/>
              </w:rPr>
              <w:t>3</w:t>
            </w:r>
          </w:p>
        </w:tc>
      </w:tr>
      <w:tr w:rsidR="000B1CE2" w14:paraId="6FED27AA" w14:textId="77777777" w:rsidTr="000B1CE2">
        <w:tc>
          <w:tcPr>
            <w:tcW w:w="20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203A6" w14:textId="77777777" w:rsidR="000B1CE2" w:rsidRDefault="00593C76" w:rsidP="000B1CE2">
            <w:pPr>
              <w:textAlignment w:val="baseline"/>
              <w:rPr>
                <w:rFonts w:ascii="Times New Roman" w:hAnsi="Times New Roman"/>
              </w:rPr>
            </w:pPr>
            <w:hyperlink r:id="rId10" w:tooltip="7750:265" w:history="1">
              <w:r w:rsidR="000B1CE2">
                <w:rPr>
                  <w:rStyle w:val="Hyperlink"/>
                  <w:color w:val="337AB7"/>
                  <w:bdr w:val="none" w:sz="0" w:space="0" w:color="auto" w:frame="1"/>
                </w:rPr>
                <w:t>7750:265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2DDA9" w14:textId="77777777" w:rsidR="000B1CE2" w:rsidRDefault="000B1CE2">
            <w:r>
              <w:t>Women &amp; Addiction</w:t>
            </w:r>
          </w:p>
        </w:tc>
        <w:tc>
          <w:tcPr>
            <w:tcW w:w="11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CFC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E5484" w14:textId="77777777" w:rsidR="000B1CE2" w:rsidRDefault="000B1CE2"/>
        </w:tc>
      </w:tr>
      <w:tr w:rsidR="000B1CE2" w14:paraId="2603286B" w14:textId="77777777" w:rsidTr="000B1CE2">
        <w:tc>
          <w:tcPr>
            <w:tcW w:w="2016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78B2F" w14:textId="77777777" w:rsidR="000B1CE2" w:rsidRDefault="00593C76" w:rsidP="000B1CE2">
            <w:pPr>
              <w:textAlignment w:val="baseline"/>
            </w:pPr>
            <w:hyperlink r:id="rId11" w:tooltip="7750:268" w:history="1">
              <w:r w:rsidR="000B1CE2">
                <w:rPr>
                  <w:rStyle w:val="Hyperlink"/>
                  <w:color w:val="337AB7"/>
                  <w:bdr w:val="none" w:sz="0" w:space="0" w:color="auto" w:frame="1"/>
                </w:rPr>
                <w:t>7750:268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36F9A" w14:textId="77777777" w:rsidR="000B1CE2" w:rsidRDefault="000B1CE2">
            <w:r>
              <w:t>Co-Occurring Disorders</w:t>
            </w:r>
          </w:p>
        </w:tc>
        <w:tc>
          <w:tcPr>
            <w:tcW w:w="1125" w:type="dxa"/>
            <w:tcBorders>
              <w:top w:val="single" w:sz="6" w:space="0" w:color="DDDDDD"/>
              <w:left w:val="nil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D4594" w14:textId="77777777" w:rsidR="000B1CE2" w:rsidRDefault="000B1CE2"/>
        </w:tc>
      </w:tr>
      <w:tr w:rsidR="000B1CE2" w14:paraId="47334519" w14:textId="77777777" w:rsidTr="000B1CE2">
        <w:tc>
          <w:tcPr>
            <w:tcW w:w="201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248B1" w14:textId="77777777" w:rsidR="000B1CE2" w:rsidRDefault="00593C76" w:rsidP="000B1CE2">
            <w:pPr>
              <w:textAlignment w:val="baseline"/>
            </w:pPr>
            <w:hyperlink r:id="rId12" w:tooltip="7750:269" w:history="1">
              <w:r w:rsidR="000B1CE2">
                <w:rPr>
                  <w:rStyle w:val="Hyperlink"/>
                  <w:color w:val="337AB7"/>
                  <w:bdr w:val="none" w:sz="0" w:space="0" w:color="auto" w:frame="1"/>
                </w:rPr>
                <w:t>7750:269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B9481" w14:textId="77777777" w:rsidR="000B1CE2" w:rsidRDefault="000B1CE2">
            <w:r>
              <w:t>Criminal Justice &amp; Addiction</w:t>
            </w:r>
          </w:p>
        </w:tc>
        <w:tc>
          <w:tcPr>
            <w:tcW w:w="112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CFCFC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CE969" w14:textId="77777777" w:rsidR="000B1CE2" w:rsidRDefault="000B1CE2"/>
        </w:tc>
      </w:tr>
      <w:tr w:rsidR="000B1CE2" w14:paraId="5A346D3F" w14:textId="77777777" w:rsidTr="000B1CE2">
        <w:tc>
          <w:tcPr>
            <w:tcW w:w="2016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EB5C3" w14:textId="77777777" w:rsidR="000B1CE2" w:rsidRDefault="00593C76" w:rsidP="000B1CE2">
            <w:pPr>
              <w:textAlignment w:val="baseline"/>
            </w:pPr>
            <w:hyperlink r:id="rId13" w:tooltip="7750:271" w:history="1">
              <w:r w:rsidR="000B1CE2">
                <w:rPr>
                  <w:rStyle w:val="Hyperlink"/>
                  <w:color w:val="337AB7"/>
                  <w:bdr w:val="none" w:sz="0" w:space="0" w:color="auto" w:frame="1"/>
                </w:rPr>
                <w:t>7750:271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FBFFA" w14:textId="77777777" w:rsidR="000B1CE2" w:rsidRDefault="000B1CE2">
            <w:r>
              <w:t>Behavioral Addictions</w:t>
            </w:r>
          </w:p>
        </w:tc>
        <w:tc>
          <w:tcPr>
            <w:tcW w:w="1125" w:type="dxa"/>
            <w:tcBorders>
              <w:top w:val="single" w:sz="6" w:space="0" w:color="DDDDDD"/>
              <w:left w:val="nil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48DE5" w14:textId="77777777" w:rsidR="000B1CE2" w:rsidRDefault="000B1CE2"/>
        </w:tc>
      </w:tr>
      <w:tr w:rsidR="000B1CE2" w14:paraId="4C28CC7A" w14:textId="77777777" w:rsidTr="000B1CE2">
        <w:tc>
          <w:tcPr>
            <w:tcW w:w="0" w:type="auto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FE8D3" w14:textId="77777777" w:rsidR="000B1CE2" w:rsidRDefault="000B1CE2">
            <w:pPr>
              <w:rPr>
                <w:rFonts w:ascii="inherit" w:hAnsi="inherit"/>
                <w:b/>
                <w:bCs/>
              </w:rPr>
            </w:pPr>
            <w:r>
              <w:rPr>
                <w:rFonts w:ascii="inherit" w:hAnsi="inherit"/>
                <w:b/>
                <w:bCs/>
              </w:rPr>
              <w:t>Total Hours</w:t>
            </w:r>
          </w:p>
        </w:tc>
        <w:tc>
          <w:tcPr>
            <w:tcW w:w="1125" w:type="dxa"/>
            <w:tcBorders>
              <w:top w:val="single" w:sz="6" w:space="0" w:color="DDDDDD"/>
              <w:left w:val="nil"/>
              <w:bottom w:val="nil"/>
              <w:right w:val="nil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39F73" w14:textId="5FAA9657" w:rsidR="000B1CE2" w:rsidRDefault="000B1CE2">
            <w:pPr>
              <w:jc w:val="right"/>
              <w:rPr>
                <w:rFonts w:ascii="inherit" w:hAnsi="inherit"/>
                <w:b/>
                <w:bCs/>
              </w:rPr>
            </w:pPr>
            <w:r>
              <w:rPr>
                <w:rFonts w:ascii="inherit" w:hAnsi="inherit"/>
                <w:b/>
                <w:bCs/>
              </w:rPr>
              <w:t>3</w:t>
            </w:r>
          </w:p>
        </w:tc>
      </w:tr>
    </w:tbl>
    <w:p w14:paraId="4A52B343" w14:textId="77777777" w:rsidR="00143BBA" w:rsidRPr="00143BBA" w:rsidRDefault="00143BBA" w:rsidP="00143BBA">
      <w:pPr>
        <w:rPr>
          <w:b/>
        </w:rPr>
      </w:pPr>
    </w:p>
    <w:sectPr w:rsidR="00143BBA" w:rsidRPr="00143BBA" w:rsidSect="00143BBA">
      <w:pgSz w:w="12240" w:h="15840"/>
      <w:pgMar w:top="24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BA"/>
    <w:rsid w:val="000B1CE2"/>
    <w:rsid w:val="00143BBA"/>
    <w:rsid w:val="002D487E"/>
    <w:rsid w:val="0052343E"/>
    <w:rsid w:val="00552A16"/>
    <w:rsid w:val="00593C76"/>
    <w:rsid w:val="00A12259"/>
    <w:rsid w:val="00AB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F146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3B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3B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43B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43BBA"/>
    <w:rPr>
      <w:b/>
      <w:bCs/>
    </w:rPr>
  </w:style>
  <w:style w:type="character" w:styleId="Emphasis">
    <w:name w:val="Emphasis"/>
    <w:basedOn w:val="DefaultParagraphFont"/>
    <w:uiPriority w:val="20"/>
    <w:qFormat/>
    <w:rsid w:val="00143B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43BBA"/>
    <w:rPr>
      <w:color w:val="0000FF"/>
      <w:u w:val="single"/>
    </w:rPr>
  </w:style>
  <w:style w:type="character" w:customStyle="1" w:styleId="courselistcomment">
    <w:name w:val="courselistcomment"/>
    <w:basedOn w:val="DefaultParagraphFont"/>
    <w:rsid w:val="00143BBA"/>
  </w:style>
  <w:style w:type="character" w:styleId="FollowedHyperlink">
    <w:name w:val="FollowedHyperlink"/>
    <w:basedOn w:val="DefaultParagraphFont"/>
    <w:uiPriority w:val="99"/>
    <w:semiHidden/>
    <w:unhideWhenUsed/>
    <w:rsid w:val="00AB4D0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3B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3B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43B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43BBA"/>
    <w:rPr>
      <w:b/>
      <w:bCs/>
    </w:rPr>
  </w:style>
  <w:style w:type="character" w:styleId="Emphasis">
    <w:name w:val="Emphasis"/>
    <w:basedOn w:val="DefaultParagraphFont"/>
    <w:uiPriority w:val="20"/>
    <w:qFormat/>
    <w:rsid w:val="00143B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43BBA"/>
    <w:rPr>
      <w:color w:val="0000FF"/>
      <w:u w:val="single"/>
    </w:rPr>
  </w:style>
  <w:style w:type="character" w:customStyle="1" w:styleId="courselistcomment">
    <w:name w:val="courselistcomment"/>
    <w:basedOn w:val="DefaultParagraphFont"/>
    <w:rsid w:val="00143BBA"/>
  </w:style>
  <w:style w:type="character" w:styleId="FollowedHyperlink">
    <w:name w:val="FollowedHyperlink"/>
    <w:basedOn w:val="DefaultParagraphFont"/>
    <w:uiPriority w:val="99"/>
    <w:semiHidden/>
    <w:unhideWhenUsed/>
    <w:rsid w:val="00AB4D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92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4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626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78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5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38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2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lletin-working.uakron.edu/search/?P=7750%3A260" TargetMode="External"/><Relationship Id="rId13" Type="http://schemas.openxmlformats.org/officeDocument/2006/relationships/hyperlink" Target="https://bulletin-working.uakron.edu/search/?P=7750%3A2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lletin-working.uakron.edu/search/?P=7750%3A240" TargetMode="External"/><Relationship Id="rId12" Type="http://schemas.openxmlformats.org/officeDocument/2006/relationships/hyperlink" Target="https://bulletin-working.uakron.edu/search/?P=7750%3A2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lletin-working.uakron.edu/undergraduate/important-policies/graduation-requirements/" TargetMode="External"/><Relationship Id="rId11" Type="http://schemas.openxmlformats.org/officeDocument/2006/relationships/hyperlink" Target="https://bulletin-working.uakron.edu/search/?P=7750%3A268" TargetMode="External"/><Relationship Id="rId5" Type="http://schemas.openxmlformats.org/officeDocument/2006/relationships/hyperlink" Target="mailto:jellis@uakron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ulletin-working.uakron.edu/search/?P=7750%3A2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lletin-working.uakron.edu/search/?P=7750%3A4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0</cp:lastModifiedBy>
  <cp:revision>2</cp:revision>
  <dcterms:created xsi:type="dcterms:W3CDTF">2022-03-29T19:52:00Z</dcterms:created>
  <dcterms:modified xsi:type="dcterms:W3CDTF">2022-03-29T19:52:00Z</dcterms:modified>
</cp:coreProperties>
</file>